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EE" w:rsidRDefault="005317EE">
      <w:pPr>
        <w:shd w:val="clear" w:color="auto" w:fill="FFFFFF"/>
        <w:ind w:left="10065"/>
        <w:jc w:val="right"/>
        <w:rPr>
          <w:color w:val="000000"/>
        </w:rPr>
      </w:pP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2brayodrd6yk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>Специалист по организационно-техническому сопровождению переработки нефти, газа и химического сырья (6-й уровень квалификации)</w:t>
      </w:r>
      <w:r>
        <w:rPr>
          <w:color w:val="FFFFFF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   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6 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>Переработка нефти, газа и химического сырья</w:t>
      </w:r>
      <w:r w:rsidRPr="00DD5950">
        <w:rPr>
          <w:color w:val="000000"/>
          <w:sz w:val="28"/>
          <w:szCs w:val="28"/>
          <w:u w:val="single"/>
        </w:rPr>
        <w:t xml:space="preserve">                                                            </w:t>
      </w:r>
      <w:proofErr w:type="gramStart"/>
      <w:r w:rsidRPr="00DD5950"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FFFFFF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single" w:sz="4" w:space="0" w:color="000000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 xml:space="preserve">Реквизиты приказа Национального агентства об утверждении квалификации: </w:t>
      </w:r>
      <w:r>
        <w:rPr>
          <w:color w:val="000000"/>
          <w:sz w:val="28"/>
          <w:szCs w:val="28"/>
        </w:rPr>
        <w:tab/>
      </w: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5317EE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5317EE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5317EE" w:rsidRDefault="008F68C8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5317EE" w:rsidRDefault="008F68C8">
            <w:pPr>
              <w:shd w:val="clear" w:color="auto" w:fill="FFFFFF"/>
            </w:pPr>
            <w:r>
              <w:t>от 23.09.2024 № 490н</w:t>
            </w:r>
          </w:p>
        </w:tc>
      </w:tr>
      <w:tr w:rsidR="005317EE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5317EE" w:rsidRDefault="008F68C8">
            <w:pPr>
              <w:shd w:val="clear" w:color="auto" w:fill="FFFFFF"/>
            </w:pPr>
            <w:r>
              <w:t xml:space="preserve"> – </w:t>
            </w:r>
          </w:p>
        </w:tc>
      </w:tr>
      <w:tr w:rsidR="005317EE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5317EE" w:rsidRDefault="008F68C8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5317EE" w:rsidRDefault="008F68C8">
      <w:pPr>
        <w:shd w:val="clear" w:color="auto" w:fill="FFFFFF"/>
      </w:pPr>
      <w:r>
        <w:br w:type="page"/>
      </w:r>
    </w:p>
    <w:p w:rsidR="005317EE" w:rsidRDefault="005317EE">
      <w:pPr>
        <w:shd w:val="clear" w:color="auto" w:fill="FFFFFF"/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39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267"/>
        <w:gridCol w:w="2267"/>
        <w:gridCol w:w="2834"/>
        <w:gridCol w:w="2859"/>
        <w:gridCol w:w="1637"/>
      </w:tblGrid>
      <w:tr w:rsidR="005317EE">
        <w:trPr>
          <w:trHeight w:val="20"/>
        </w:trPr>
        <w:tc>
          <w:tcPr>
            <w:tcW w:w="2124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63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5317EE">
        <w:trPr>
          <w:trHeight w:val="1230"/>
        </w:trPr>
        <w:tc>
          <w:tcPr>
            <w:tcW w:w="2124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D/01.6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Обеспечение безопасного производства и эксплуатационной целостности технологического оборудования объектов нефтегазопереработки и нефтегазохимии</w:t>
            </w: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Мониторинг работы оборудования объектов нефтегазопереработки и нефтегазохимии для обеспечения оптимального режима эксплуатации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режимы работы и состояние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Устройство, технические характеристики и параметры работы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 w:val="restart"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соблюдения технологического режима в соответствии с требованиями нормативно-технической, технической документации для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режимы работы и состояние оборудования объектов нефтегазопереработки и нефтегазохимии</w:t>
            </w:r>
          </w:p>
          <w:p w:rsidR="005317EE" w:rsidRDefault="005317EE"/>
          <w:p w:rsidR="005317EE" w:rsidRDefault="008F68C8">
            <w:r>
              <w:t>Анализировать причины отклонений параметров технологического режима объектов нефтегазопереработки и нефтегазохимии от регламентных норм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Нормативно-техническая документация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функционирования системы менеджмента качества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Производить внутреннюю проверку системы менеджмента качества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Стандарты, технические условия, стандарты организации, методики лабораторных испытаний для определения показателей качества сырья, готовой продукции</w:t>
            </w:r>
          </w:p>
          <w:p w:rsidR="005317EE" w:rsidRDefault="005317EE"/>
          <w:p w:rsidR="005317EE" w:rsidRDefault="008F68C8">
            <w:r>
              <w:t>Теоретические основы технологии переработки нефти, газа и химического сырья и производства готовой продукции объектов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сдачи готовой продукции в соответствии с планом производства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Выявлять и предупреждать нарушения реализации плана производства готовой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расчета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t>Положения системы менеджмента качества на объектах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Проведение анализа результатов лабораторных испытаний контроля качества сырья, готовой </w:t>
            </w:r>
            <w:r>
              <w:rPr>
                <w:color w:val="000000"/>
              </w:rPr>
              <w:lastRenderedPageBreak/>
              <w:t>продукции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Вносить предложения по изменению технологического режима в ходе анализа результатов лабораторных испытаний </w:t>
            </w:r>
            <w:r>
              <w:lastRenderedPageBreak/>
              <w:t>качества сырья, готовой продукции объектов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>Причины выпуска некондиционной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Оценка показателей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Вносить предложения по изменению технологического режима в ходе анализа результатов лабораторных испытаний качества сырья, готовой продукции объектов нефтегазопереработки и нефтегазохимии</w:t>
            </w:r>
          </w:p>
          <w:p w:rsidR="005317EE" w:rsidRDefault="005317EE"/>
          <w:p w:rsidR="005317EE" w:rsidRDefault="008F68C8">
            <w:r>
              <w:t>Рассчитывать нормы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5317EE" w:rsidRDefault="005317EE"/>
          <w:p w:rsidR="005317EE" w:rsidRDefault="008F68C8">
            <w:r>
              <w:t>Инструкции по эксплуатации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Разработка мероприятий по предупреждению и устранению некондиционной продукции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Вносить предложения по предупреждению и устранению некондиционной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расчета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t>Причины выпуска некондиционной продукции на объектах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Мониторинг соблюдения технологий переработки нефти, газа и химического сырья, требований нормативно-технической документации по эксплуатации оборудования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соответствие технологий переработки нефти, газа и химического сырья требованиям нормативно-технической, технической документации по эксплуатации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Причины выпуска некондиционной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Мониторинг диспетчерских данных по отказам оборудования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соответствие технологий переработки нефти, газа и химического сырья требованиям нормативно-технической, технической документации по эксплуатации оборудования объектов нефтегазопереработки и нефтегазохимии</w:t>
            </w:r>
          </w:p>
          <w:p w:rsidR="005317EE" w:rsidRDefault="005317EE"/>
          <w:p w:rsidR="005317EE" w:rsidRDefault="008F68C8">
            <w:r>
              <w:t xml:space="preserve">Систематизировать причины неисправностей, отказов на объектах нефтегазопереработки и нефтегазохимии для предупреждения нарушения </w:t>
            </w:r>
            <w:r>
              <w:lastRenderedPageBreak/>
              <w:t>технологического режима в процессе переработки нефти, газа и химического сырья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>Перечень отказов, неисправностей, дефектов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объема технологических потерь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причины отказов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Нормы технологических потерь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Предупреждение и устранение нарушения технологического режима в процессе переработки нефти, газа и химического сырья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причины отказов оборудования объектов нефтегазопереработки и нефтегазохимии</w:t>
            </w:r>
          </w:p>
          <w:p w:rsidR="005317EE" w:rsidRDefault="005317EE"/>
          <w:p w:rsidR="005317EE" w:rsidRDefault="008F68C8">
            <w:r>
              <w:t>Вносить предложения по сокращению технологических потерь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t>Анализировать причины возникновения аварий и инцидентов на объектах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План мероприятий по локализации и ликвидации последствий аварий</w:t>
            </w:r>
          </w:p>
          <w:p w:rsidR="005317EE" w:rsidRDefault="005317EE"/>
          <w:p w:rsidR="005317EE" w:rsidRDefault="008F68C8">
            <w:r>
              <w:t>Мероприятия по предупреждению аварий, инцидентов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t>Причины нарушений технологического режима в процессе переработки нефти, газа и химического сырья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Разработка и актуализация технической документации объектов нефтегазопереработки и </w:t>
            </w:r>
            <w:r>
              <w:rPr>
                <w:color w:val="000000"/>
              </w:rPr>
              <w:lastRenderedPageBreak/>
              <w:t>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>Вносить предложения по сокращению технологических потерь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lastRenderedPageBreak/>
              <w:t>Систематизировать информацию о деятельности подразделения для разработки и актуализации действующей технической документации объектов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>Мероприятия по предупреждению аварий, инцидентов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2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Составление баланса производственных мощностей оборудования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Рассчитывать производственные мощности объектов нефтегазопереработки и нефтегазохимии и показатели их использования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формирования баланса производственных мощностей оборудования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87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Осуществление производственного контроля состояния охраны труда, промышленной, пожарной и экологической безопасности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Проверять состояние условий труда, промышленной, пожарной и экологической безопасности подразделений при проведении производственного контроля объектов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Требования охраны труда, промышленной, пожарной и экологической безопасности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230"/>
        </w:trPr>
        <w:tc>
          <w:tcPr>
            <w:tcW w:w="2124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D/02.6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 xml:space="preserve">Разработка и внедрение мероприятий, направленных на </w:t>
            </w:r>
            <w:r>
              <w:rPr>
                <w:color w:val="000000"/>
                <w:highlight w:val="white"/>
              </w:rPr>
              <w:lastRenderedPageBreak/>
              <w:t>совершенствование деятельности и повышение эффективности работы объектов нефтегазопереработки и нефтегазохимии</w:t>
            </w: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lastRenderedPageBreak/>
              <w:t>Мониторинг технического развития объектов нефтегазопереработ</w:t>
            </w:r>
            <w:r>
              <w:lastRenderedPageBreak/>
              <w:t>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Разрабатывать технические решения для технического развития объектов </w:t>
            </w:r>
            <w:r>
              <w:lastRenderedPageBreak/>
              <w:t>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Методы проведения лабораторных испытаний в области переработки нефти, газа и </w:t>
            </w:r>
            <w:r>
              <w:lastRenderedPageBreak/>
              <w:t>химического сырья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16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Мониторинг новых информационных технологий и программных продуктов для повышения эффективности работы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Анализировать опыт применения информационных технологий и программных продуктов в области переработки нефти, газа и химического сырья для повышения эффективности работы объектов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Методы оценки эффективности внедрения информационных технологий и программных продуктов в области переработки нефти, газа и химического сырья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18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Формирование научно-технических прогнозов развития производства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Вносить предложения по развитию производства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Назначение, устройство, конструктивные особенности оборудования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1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мероприятий по внедрению НИОКР и проведению опытно-промышленных испытаний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Вносить предложения по составлению текущих и перспективных планов повышения эффективности работы организации по итогам проведенных НИОКР и опытно-промышленных испытаний на объектах нефтегазопереработки и нефтегазохимии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lastRenderedPageBreak/>
              <w:t>Соблюдать сроки проведения НИОКР на объектах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>Порядок внедрения НИОКР и проведения опытно-промышленных испытаний на объектах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4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проектной и технической документации, регламентирующей повышение технической устойчивости, проведение модернизации и реконструкции оборудования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Составлять проектную и техническую документацию для повышения технической устойчивости, проведения модернизации и реконструкции оборудования объектов нефтегазопереработки и нефтегазохимии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t>Анализировать результативность внедрения нового оборудования и технологий на объекты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Назначение, устройство, конструктивные особенности оборудования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05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Сопровождение проектно-изыскательных работ по внедрению нового оборудования и технологий на объекты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Вести учет технических заданий на проектирование вновь строящихся и реконструкцию действующих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и методы внедрения нового оборудования и технологий на объекты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0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Мониторинг </w:t>
            </w:r>
            <w:r>
              <w:lastRenderedPageBreak/>
              <w:t>технических заданий на проектирование вновь строящихся и реконструкцию действующих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Подготавливать </w:t>
            </w:r>
            <w:r>
              <w:lastRenderedPageBreak/>
              <w:t>предложения по оптимизации технологических процессов переработки нефти, газа и химического сырья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Порядок ведения учета </w:t>
            </w:r>
            <w:r>
              <w:lastRenderedPageBreak/>
              <w:t>технических заданий на проектирование вновь строящихся и реконструкцию действующих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5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мероприятий по оптимизации технологических процессов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Подготавливать предложения по оптимизации технологических процессов переработки нефти, газа и химического сырья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t>Анализировать данные технологических параметров работы оборудования объектов нефтегазопереработки и нефтегазохимии для устранения нарушений, приводящих к увеличению затрат на готовую продукцию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38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Разработка проектной и технической документации, регламентирующей изменение норм технологического режима для </w:t>
            </w:r>
            <w:r>
              <w:lastRenderedPageBreak/>
              <w:t>повышения эффективности работы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>Вносить предложения по обеспечению выполнения планов производства готовой продукции на объектах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и методы текущего производственного планирования.</w:t>
            </w:r>
          </w:p>
          <w:p w:rsidR="005317EE" w:rsidRDefault="008F68C8">
            <w:r>
              <w:t>Технологический регламент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6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рекомендаций по сокращению материальных и энергетических затрат на производство готовой продукции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Составлять проектную и техническую документацию для оптимизации мощностей объектов нефтегазопереработки и нефтегазохимии и отбора готовой продукции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разработки мероприятий, направленных на обеспечение выполнения планов производства готовой продукции на объектах нефтегазопереработки и нефтегазохимии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t>Материальный баланс объектов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41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программы оптимизации мощностей объектов нефтегазопереработки и нефтегазохимии и отбора готовой продукции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Систематизировать информацию по применяемым параметрам технологического режима на объектах нефтегазопереработки и нефтегазохимии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t>Составлять проектную и техническую документацию для сокращения объема выбросов токсичных отходов производства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Материальный баланс объектов нефтегазопереработки и нефтегазохимии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28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Разработка </w:t>
            </w:r>
            <w:r>
              <w:lastRenderedPageBreak/>
              <w:t>мероприятий по сокращению объема выбросов токсичных отходов производства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lastRenderedPageBreak/>
              <w:t xml:space="preserve">Составлять проектную и </w:t>
            </w:r>
            <w:r>
              <w:lastRenderedPageBreak/>
              <w:t>техническую документацию для сокращения объема выбросов токсичных отходов производства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Требования охраны </w:t>
            </w:r>
            <w:r>
              <w:lastRenderedPageBreak/>
              <w:t>труда, промышленной, пожарной и экологической безопасности</w:t>
            </w:r>
          </w:p>
          <w:p w:rsidR="005317EE" w:rsidRDefault="005317EE"/>
          <w:p w:rsidR="005317EE" w:rsidRDefault="008F68C8">
            <w:pPr>
              <w:rPr>
                <w:color w:val="333333"/>
              </w:rPr>
            </w:pPr>
            <w:r>
              <w:t>Нормы объема выбросов токсичных отходов производства в области переработки нефти, газа и химического сырья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37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текущих и перспективных мероприятий, направленных на обеспечение выполнения планов производства готовой продукции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Требования охраны труда, промышленной, пожарной и экологической безопасности</w:t>
            </w:r>
          </w:p>
          <w:p w:rsidR="005317EE" w:rsidRDefault="005317EE">
            <w:pPr>
              <w:rPr>
                <w:color w:val="333333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5317EE">
        <w:trPr>
          <w:trHeight w:val="330"/>
        </w:trPr>
        <w:tc>
          <w:tcPr>
            <w:tcW w:w="2124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D/03.6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Нормативно-техническое обеспечение процесса переработки нефти, газа и химического сырья</w:t>
            </w: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Составление графиков переработки сырья, выпуска готовой продукции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данные по объему и срокам переработки сырья, выпуску готовой продукции для составления графиков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Нормы переработки сырья, выпуска готовой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4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Составление графиков закупки, загрузки, регенерации </w:t>
            </w:r>
            <w:r>
              <w:lastRenderedPageBreak/>
              <w:t>катализаторов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Анализировать данные по обращению с катализаторами для составления графиков </w:t>
            </w:r>
            <w:r>
              <w:lastRenderedPageBreak/>
              <w:t>закупки, загрузки, регенерации катализаторов на объектах нефтегазопереработки и нефтегазохимии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Нормы расхода катализаторов на объектах нефтегазопереработки и </w:t>
            </w:r>
            <w:r>
              <w:lastRenderedPageBreak/>
              <w:t>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26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Составление заявок на МТР, необходимых для процесса переработки нефти, газа и химического сырья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Систематизировать данные по плановому объему материалов при составлении заявок на МТР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Перечень МТР, необходимых для проведения работ на объектах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22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Контроль составления материального баланса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Оценивать соответствие материального баланса объектов нефтегазопереработки и нефтегазохимии с нормами расхода сырья, присадок, реагентов, катализаторов, энергоресурсов и выхода готовой продукции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расчета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4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Внесение изменений и дополнений в техническую документацию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Формировать и актуализировать техническую документацию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формирования технической документации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28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Рассмотрение технических предложений </w:t>
            </w:r>
            <w:r>
              <w:lastRenderedPageBreak/>
              <w:t>поставщиков оборудования на объекты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Анализировать технические предложения </w:t>
            </w:r>
            <w:r>
              <w:lastRenderedPageBreak/>
              <w:t>поставщиков оборудования для возможного внедрения на объекты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Назначение, устройство и технические характеристики </w:t>
            </w:r>
            <w:r>
              <w:lastRenderedPageBreak/>
              <w:t>оборудования, технических устройств, контрольно-измерительных приборов и автоматики, специализированной техники, применяемых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394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Проведение технико-технологической экспертизы при закупках МТР на объекты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технические характеристики МТР для проведения закупок на объекты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проведения закупочно-договорной деятельности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6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Оформление комплекта разрешительной документации для выпуска готовой продукции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Составлять разрешительную документацию для выпуска готовой продукции на объектах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Техническая документация по разработке технических заданий для проведения закупочных процедур</w:t>
            </w:r>
          </w:p>
          <w:p w:rsidR="005317EE" w:rsidRDefault="005317EE"/>
          <w:p w:rsidR="005317EE" w:rsidRDefault="008F68C8">
            <w:r>
              <w:t>Перечень документации для заключения договоров с подрядными организациями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31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Контроль выполнения договоров с подрядными организациями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Анализировать объемы, сроки договорных обязательств подрядных организаций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Перечень документации для заключения договоров с подрядными организациями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33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Подготовка пакета </w:t>
            </w:r>
            <w:r>
              <w:lastRenderedPageBreak/>
              <w:t>документов для заключения договоров с подрядными организациями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Систематизировать </w:t>
            </w:r>
            <w:r>
              <w:lastRenderedPageBreak/>
              <w:t>информацию и документацию для заключения договоров с подрядными организациями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Техническая </w:t>
            </w:r>
            <w:r>
              <w:lastRenderedPageBreak/>
              <w:t>документация по разработке технических заданий для проведения закупочных процедур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34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Подготовка технических заданий для проведения закупочных процедур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Оценивать эффективность технических предложений для оформления технических заданий при проведении закупочных процедур</w:t>
            </w:r>
          </w:p>
          <w:p w:rsidR="005317EE" w:rsidRDefault="005317EE"/>
          <w:p w:rsidR="005317EE" w:rsidRDefault="008F68C8">
            <w:r>
              <w:t>Разрабатывать технические задания для проведения закупочных процедур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Технологический регламент объектов нефтегазопереработки и нефтегазохимии.</w:t>
            </w:r>
          </w:p>
          <w:p w:rsidR="005317EE" w:rsidRDefault="008F68C8">
            <w:r>
              <w:t>Перечень документации для заключения договоров с подрядными организациями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24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Подготовка заключений к техническим предложениям для оформления технических заданий при проведении закупочных процедур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Консолидировать данные о работе оборудования объектов нефтегазопереработки и нефтегазохимии для составления технических отчетов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Технологический регламент объектов нефтегазопереработки и нефтегазохимии.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39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Составление технических отчетов о работе оборудования объектов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Вносить предложения по формированию программ замены и регенерации каталитических систем, реагентов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lastRenderedPageBreak/>
              <w:t>Оценивать эффективность технических предложений для оформления технических заданий при проведении закупочных процедур</w:t>
            </w: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>Технологический регламент объектов нефтегазопереработки и 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7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программ замены и регенерации каталитических систем, реагентов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Составлять акты, предписания по результатам проведения производственного контроля состояния охраны труда, промышленной, пожарной, экологической безопасности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Физико-химические свойства каталитических систем, реагентов, применяемых на объектах нефтегазопереработки и нефтегазохимии</w:t>
            </w:r>
          </w:p>
          <w:p w:rsidR="005317EE" w:rsidRDefault="005317EE"/>
          <w:p w:rsidR="005317EE" w:rsidRDefault="008F68C8">
            <w:r>
              <w:t>Технологический регламент объектов нефтегазопереработки и нефтегазохимии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317EE">
        <w:trPr>
          <w:trHeight w:val="35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Оформление актов, предписаний по результатам проведения производственного контроля состояния охраны труда, промышленной, пожарной, экологической безопасности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Консолидировать статистические данные по оценке воспроизводимости методик определения технологических потерь для уточнения их нормативов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составления актов, предписаний по результатам проведения производственного контроля состояния охраны труда, промышленной, пожарной, экологической безопасности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37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 xml:space="preserve">Проведение расчетов оборудования объектов нефтегазопереработки и </w:t>
            </w:r>
            <w:r>
              <w:lastRenderedPageBreak/>
              <w:t>нефтегазохимии, технологических режимов, моделирование технологических процессов при помощи специализированных программных продуктов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lastRenderedPageBreak/>
              <w:t xml:space="preserve">Применять специализированные программные продукты для проведения расчетов оборудования объектов нефтегазопереработки и </w:t>
            </w:r>
            <w:r>
              <w:lastRenderedPageBreak/>
              <w:t>нефтегазохимии, технологических режимов, моделирования технологических процессов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lastRenderedPageBreak/>
              <w:t xml:space="preserve">Схема технологического процесса переработки нефти, газа и химического сырья на объектах нефтегазопереработки и </w:t>
            </w:r>
            <w:r>
              <w:lastRenderedPageBreak/>
              <w:t>нефтегазохимии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18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нормативов технологических потерь на объектах нефтегазопереработки и нефтегазохимии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Составлять план мероприятий по подготовке объектов нефтегазопереработки и нефтегазохимии к работе в условиях осенне-зимнего периода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Порядок работы с программным обеспечением для расчета оборудования объектов нефтегазопереработки и нефтегазохимии, технологических режимов, моделирования технологических процессов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317EE">
        <w:trPr>
          <w:trHeight w:val="370"/>
        </w:trPr>
        <w:tc>
          <w:tcPr>
            <w:tcW w:w="212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67" w:type="dxa"/>
            <w:shd w:val="clear" w:color="auto" w:fill="auto"/>
          </w:tcPr>
          <w:p w:rsidR="005317EE" w:rsidRDefault="008F68C8">
            <w:pPr>
              <w:rPr>
                <w:color w:val="333333"/>
              </w:rPr>
            </w:pPr>
            <w:r>
              <w:t>Разработка мероприятий по подготовке объектов нефтегазопереработки и нефтегазохимии к осенне-зимнему периоду</w:t>
            </w:r>
          </w:p>
        </w:tc>
        <w:tc>
          <w:tcPr>
            <w:tcW w:w="2834" w:type="dxa"/>
            <w:shd w:val="clear" w:color="auto" w:fill="auto"/>
          </w:tcPr>
          <w:p w:rsidR="005317EE" w:rsidRDefault="008F68C8">
            <w: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9" w:type="dxa"/>
            <w:shd w:val="clear" w:color="auto" w:fill="auto"/>
          </w:tcPr>
          <w:p w:rsidR="005317EE" w:rsidRDefault="008F68C8">
            <w:r>
              <w:t>Требования охраны труда, промышленной, пожарной и экологической безопасности</w:t>
            </w:r>
          </w:p>
          <w:p w:rsidR="005317EE" w:rsidRDefault="005317EE"/>
          <w:p w:rsidR="005317EE" w:rsidRDefault="008F68C8">
            <w:r>
              <w:t>Перечень действий и мер, необходимых для подготовки оборудования объектов нефтегазопереработки и нефтегазохимии к работе в осенне-зимний период</w:t>
            </w:r>
          </w:p>
        </w:tc>
        <w:tc>
          <w:tcPr>
            <w:tcW w:w="1637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4"/>
        <w:gridCol w:w="1279"/>
        <w:gridCol w:w="1360"/>
        <w:gridCol w:w="8772"/>
      </w:tblGrid>
      <w:tr w:rsidR="005317EE">
        <w:trPr>
          <w:trHeight w:val="1748"/>
          <w:jc w:val="center"/>
        </w:trPr>
        <w:tc>
          <w:tcPr>
            <w:tcW w:w="2644" w:type="dxa"/>
            <w:shd w:val="clear" w:color="auto" w:fill="auto"/>
            <w:vAlign w:val="center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2" w:type="dxa"/>
            <w:shd w:val="clear" w:color="auto" w:fill="auto"/>
            <w:vAlign w:val="center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 w:val="restart"/>
            <w:shd w:val="clear" w:color="auto" w:fill="auto"/>
          </w:tcPr>
          <w:p w:rsidR="005317EE" w:rsidRDefault="008F68C8">
            <w:pPr>
              <w:rPr>
                <w:color w:val="000000"/>
              </w:rPr>
            </w:pPr>
            <w:r>
              <w:rPr>
                <w:color w:val="000000"/>
              </w:rPr>
              <w:t>Ведущий инженер</w:t>
            </w:r>
          </w:p>
          <w:p w:rsidR="005317EE" w:rsidRDefault="008F68C8">
            <w:pPr>
              <w:rPr>
                <w:color w:val="000000"/>
              </w:rPr>
            </w:pPr>
            <w:r>
              <w:rPr>
                <w:color w:val="000000"/>
              </w:rPr>
              <w:t>Ведущий инженер-технолог</w:t>
            </w:r>
          </w:p>
          <w:p w:rsidR="005317EE" w:rsidRDefault="008F68C8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  <w:p w:rsidR="005317EE" w:rsidRDefault="008F68C8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5317EE" w:rsidRDefault="008F68C8">
            <w:pPr>
              <w:shd w:val="clear" w:color="auto" w:fill="FFFFFF"/>
              <w:rPr>
                <w:sz w:val="10"/>
                <w:szCs w:val="10"/>
              </w:rPr>
            </w:pPr>
            <w:r>
              <w:rPr>
                <w:color w:val="000000"/>
              </w:rPr>
              <w:t>Начальник установки</w:t>
            </w:r>
          </w:p>
        </w:tc>
        <w:tc>
          <w:tcPr>
            <w:tcW w:w="1279" w:type="dxa"/>
            <w:shd w:val="clear" w:color="auto" w:fill="auto"/>
          </w:tcPr>
          <w:p w:rsidR="005317EE" w:rsidRDefault="008F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ОКЗ</w:t>
            </w:r>
          </w:p>
        </w:tc>
        <w:tc>
          <w:tcPr>
            <w:tcW w:w="1360" w:type="dxa"/>
            <w:shd w:val="clear" w:color="auto" w:fill="auto"/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7">
              <w:r w:rsidR="008F68C8">
                <w:rPr>
                  <w:color w:val="000000"/>
                  <w:sz w:val="28"/>
                  <w:szCs w:val="28"/>
                </w:rPr>
                <w:t>2141</w:t>
              </w:r>
            </w:hyperlink>
          </w:p>
        </w:tc>
        <w:tc>
          <w:tcPr>
            <w:tcW w:w="8772" w:type="dxa"/>
            <w:shd w:val="clear" w:color="auto" w:fill="auto"/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Инженеры в промышленности и на производстве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5317EE" w:rsidRDefault="00DD5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8">
              <w:r w:rsidR="008F68C8">
                <w:rPr>
                  <w:color w:val="000000"/>
                  <w:sz w:val="28"/>
                  <w:szCs w:val="28"/>
                </w:rPr>
                <w:t>ЕКС</w:t>
              </w:r>
            </w:hyperlink>
          </w:p>
        </w:tc>
        <w:tc>
          <w:tcPr>
            <w:tcW w:w="1360" w:type="dxa"/>
            <w:shd w:val="clear" w:color="auto" w:fill="auto"/>
          </w:tcPr>
          <w:p w:rsidR="005317EE" w:rsidRDefault="008F68C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772" w:type="dxa"/>
            <w:shd w:val="clear" w:color="auto" w:fill="auto"/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инженер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8F68C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shd w:val="clear" w:color="auto" w:fill="auto"/>
          </w:tcPr>
          <w:p w:rsidR="005317EE" w:rsidRDefault="008F68C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Инженер-технолог (технолог)</w:t>
            </w:r>
          </w:p>
        </w:tc>
      </w:tr>
      <w:tr w:rsidR="005317EE">
        <w:trPr>
          <w:trHeight w:val="96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5317EE" w:rsidRDefault="00DD5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9">
              <w:r w:rsidR="008F68C8">
                <w:rPr>
                  <w:color w:val="000000"/>
                  <w:sz w:val="28"/>
                  <w:szCs w:val="28"/>
                </w:rPr>
                <w:t>ОКПДТР</w:t>
              </w:r>
            </w:hyperlink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0">
              <w:r w:rsidR="008F68C8">
                <w:rPr>
                  <w:color w:val="000000"/>
                  <w:sz w:val="28"/>
                  <w:szCs w:val="28"/>
                </w:rPr>
                <w:t>22854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Инженер-технолог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1">
              <w:r w:rsidR="008F68C8">
                <w:rPr>
                  <w:color w:val="000000"/>
                  <w:sz w:val="28"/>
                  <w:szCs w:val="28"/>
                </w:rPr>
                <w:t>22860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Инженер-химик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2">
              <w:r w:rsidR="008F68C8">
                <w:rPr>
                  <w:color w:val="000000"/>
                  <w:sz w:val="28"/>
                  <w:szCs w:val="28"/>
                </w:rPr>
                <w:t>25076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установки (буровой, газодобывающей, кислородной, обогатительной, регенерационной, углекислотной и др.)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5317EE" w:rsidRDefault="00DD5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3">
              <w:r w:rsidR="008F68C8">
                <w:rPr>
                  <w:color w:val="000000"/>
                  <w:sz w:val="28"/>
                  <w:szCs w:val="28"/>
                </w:rPr>
                <w:t>ОКСО</w:t>
              </w:r>
            </w:hyperlink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4">
              <w:r w:rsidR="008F68C8">
                <w:rPr>
                  <w:color w:val="000000"/>
                  <w:sz w:val="28"/>
                  <w:szCs w:val="28"/>
                </w:rPr>
                <w:t>2.18.03.01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Химическая технология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5">
              <w:r w:rsidR="008F68C8">
                <w:rPr>
                  <w:color w:val="000000"/>
                  <w:sz w:val="28"/>
                  <w:szCs w:val="28"/>
                </w:rPr>
                <w:t>2.18.03.02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Энерго</w:t>
            </w:r>
            <w:proofErr w:type="spellEnd"/>
            <w:r>
              <w:rPr>
                <w:color w:val="000000"/>
                <w:sz w:val="28"/>
                <w:szCs w:val="28"/>
              </w:rPr>
              <w:t>- и ресурсосберегающие процессы в химической технологии, нефтегазохимии и биотехнологии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6">
              <w:r w:rsidR="008F68C8">
                <w:rPr>
                  <w:color w:val="000000"/>
                  <w:sz w:val="28"/>
                  <w:szCs w:val="28"/>
                </w:rPr>
                <w:t>2.21.03.01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Нефтегазовое дело</w:t>
            </w:r>
          </w:p>
        </w:tc>
      </w:tr>
      <w:tr w:rsidR="005317EE">
        <w:trPr>
          <w:trHeight w:val="20"/>
          <w:jc w:val="center"/>
        </w:trPr>
        <w:tc>
          <w:tcPr>
            <w:tcW w:w="2644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5317EE" w:rsidRDefault="0053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7EE" w:rsidRDefault="00DD5950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hyperlink r:id="rId17">
              <w:r w:rsidR="008F68C8">
                <w:rPr>
                  <w:color w:val="000000"/>
                  <w:sz w:val="28"/>
                  <w:szCs w:val="28"/>
                </w:rPr>
                <w:t>2.18.05.01</w:t>
              </w:r>
            </w:hyperlink>
          </w:p>
        </w:tc>
        <w:tc>
          <w:tcPr>
            <w:tcW w:w="8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17EE" w:rsidRDefault="008F68C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Химическая технология </w:t>
            </w:r>
            <w:proofErr w:type="spellStart"/>
            <w:r>
              <w:rPr>
                <w:color w:val="000000"/>
                <w:sz w:val="28"/>
                <w:szCs w:val="28"/>
              </w:rPr>
              <w:t>энергонасыщенных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материалов и изделий</w:t>
            </w:r>
          </w:p>
        </w:tc>
      </w:tr>
    </w:tbl>
    <w:p w:rsidR="005317EE" w:rsidRDefault="005317EE">
      <w:pPr>
        <w:shd w:val="clear" w:color="auto" w:fill="FFFFFF"/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5317EE" w:rsidRDefault="008F68C8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образование - бакалавриат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или</w:t>
      </w:r>
    </w:p>
    <w:p w:rsidR="005317EE" w:rsidRDefault="008F68C8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образование - специалитет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или</w:t>
      </w:r>
    </w:p>
    <w:p w:rsidR="005317EE" w:rsidRDefault="008F68C8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(техническое) образование - бакалавриат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lastRenderedPageBreak/>
        <w:t>или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(техническое) образование -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Не менее двух лет на должностях специалистов, инженеров-технологов в области переработки нефти, газа и химического сырья или опыт работы по рабочим профессиям нефтегазопереработки и нефтегазохимии не менее трех лет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психиатрического освидетельствования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5317EE" w:rsidRDefault="008F68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t xml:space="preserve">Документ, подтверждающий наличие высшего образования в </w:t>
      </w:r>
      <w:r w:rsidR="00DD5950">
        <w:rPr>
          <w:color w:val="000000"/>
          <w:sz w:val="28"/>
          <w:szCs w:val="28"/>
        </w:rPr>
        <w:t xml:space="preserve">области, соответствующей </w:t>
      </w:r>
      <w:proofErr w:type="gramStart"/>
      <w:r w:rsidR="00DD5950">
        <w:rPr>
          <w:color w:val="000000"/>
          <w:sz w:val="28"/>
          <w:szCs w:val="28"/>
        </w:rPr>
        <w:t xml:space="preserve">виду </w:t>
      </w:r>
      <w:r>
        <w:rPr>
          <w:color w:val="000000"/>
          <w:sz w:val="28"/>
          <w:szCs w:val="28"/>
        </w:rPr>
        <w:t xml:space="preserve"> профессиональной</w:t>
      </w:r>
      <w:proofErr w:type="gramEnd"/>
      <w:r>
        <w:rPr>
          <w:color w:val="000000"/>
          <w:sz w:val="28"/>
          <w:szCs w:val="28"/>
        </w:rPr>
        <w:t xml:space="preserve"> деятельности;</w:t>
      </w:r>
    </w:p>
    <w:p w:rsidR="005317EE" w:rsidRDefault="008F68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t>Документы, подтверждающие наличие опыта практической работы не менее двух лет на должностях специалистов, инженеров-технологов в области переработки нефти, газа и химического сырья или опыт работы по рабочим профессиям нефтегазопереработки и нефтегазохимии не менее трех лет.</w:t>
      </w:r>
    </w:p>
    <w:p w:rsidR="005317EE" w:rsidRDefault="008F68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</w:t>
      </w:r>
    </w:p>
    <w:p w:rsidR="005317EE" w:rsidRDefault="008F68C8" w:rsidP="00DD59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426"/>
      </w:pPr>
      <w:bookmarkStart w:id="1" w:name="_g6p3xj20mpaf" w:colFirst="0" w:colLast="0"/>
      <w:bookmarkStart w:id="2" w:name="_GoBack"/>
      <w:bookmarkEnd w:id="1"/>
      <w:bookmarkEnd w:id="2"/>
      <w:r>
        <w:rPr>
          <w:color w:val="000000"/>
          <w:sz w:val="28"/>
          <w:szCs w:val="28"/>
        </w:rPr>
        <w:t>Документ, подтверждающий наличие высшего (</w:t>
      </w:r>
      <w:r w:rsidR="00DD5950" w:rsidRPr="00DD5950">
        <w:rPr>
          <w:color w:val="000000"/>
          <w:sz w:val="28"/>
          <w:szCs w:val="28"/>
        </w:rPr>
        <w:t xml:space="preserve">непрофильного </w:t>
      </w:r>
      <w:r>
        <w:rPr>
          <w:color w:val="000000"/>
          <w:sz w:val="28"/>
          <w:szCs w:val="28"/>
        </w:rPr>
        <w:t>технического) образования;</w:t>
      </w:r>
    </w:p>
    <w:p w:rsidR="005317EE" w:rsidRDefault="008F68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4"/>
        </w:tabs>
        <w:ind w:left="567" w:hanging="283"/>
        <w:jc w:val="both"/>
      </w:pPr>
      <w:r>
        <w:rPr>
          <w:color w:val="000000"/>
          <w:sz w:val="28"/>
          <w:szCs w:val="28"/>
        </w:rPr>
        <w:t xml:space="preserve">Документ, подтверждающий профессиональную переподготовку в области, соответствующей виду профессиональной деятельности; </w:t>
      </w:r>
    </w:p>
    <w:p w:rsidR="005317EE" w:rsidRDefault="008F68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lastRenderedPageBreak/>
        <w:t>Документы, подтверждающие наличие опыта практической работы не менее двух лет на должностях специалистов, инженеров-технологов в области переработки нефти, газа и химического сырья или опыт работы по рабочим профессиям нефтегазопереработки и нефтегазохимии не менее трех лет.</w:t>
      </w:r>
    </w:p>
    <w:p w:rsidR="005317EE" w:rsidRDefault="005317E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259"/>
        </w:tabs>
        <w:ind w:left="709"/>
        <w:jc w:val="both"/>
        <w:rPr>
          <w:color w:val="000000"/>
          <w:sz w:val="28"/>
          <w:szCs w:val="28"/>
        </w:rPr>
      </w:pPr>
    </w:p>
    <w:p w:rsidR="005317EE" w:rsidRDefault="008F68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</w:t>
      </w:r>
      <w:proofErr w:type="gramStart"/>
      <w:r>
        <w:rPr>
          <w:color w:val="000000"/>
          <w:sz w:val="28"/>
          <w:szCs w:val="28"/>
          <w:u w:val="single"/>
        </w:rPr>
        <w:t xml:space="preserve">лет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sectPr w:rsidR="005317EE">
      <w:headerReference w:type="even" r:id="rId18"/>
      <w:headerReference w:type="default" r:id="rId19"/>
      <w:headerReference w:type="first" r:id="rId20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C8" w:rsidRDefault="008F68C8">
      <w:r>
        <w:separator/>
      </w:r>
    </w:p>
  </w:endnote>
  <w:endnote w:type="continuationSeparator" w:id="0">
    <w:p w:rsidR="008F68C8" w:rsidRDefault="008F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C8" w:rsidRDefault="008F68C8">
      <w:r>
        <w:separator/>
      </w:r>
    </w:p>
  </w:footnote>
  <w:footnote w:type="continuationSeparator" w:id="0">
    <w:p w:rsidR="008F68C8" w:rsidRDefault="008F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EE" w:rsidRDefault="008F68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317EE" w:rsidRDefault="005317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EE" w:rsidRDefault="008F68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D5950">
      <w:rPr>
        <w:noProof/>
        <w:color w:val="000000"/>
      </w:rPr>
      <w:t>18</w:t>
    </w:r>
    <w:r>
      <w:rPr>
        <w:color w:val="000000"/>
      </w:rPr>
      <w:fldChar w:fldCharType="end"/>
    </w:r>
  </w:p>
  <w:p w:rsidR="005317EE" w:rsidRDefault="005317EE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7EE" w:rsidRDefault="005317EE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3737"/>
    <w:multiLevelType w:val="multilevel"/>
    <w:tmpl w:val="FAB2126C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E3514E6"/>
    <w:multiLevelType w:val="multilevel"/>
    <w:tmpl w:val="E8DE3462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BE55A6C"/>
    <w:multiLevelType w:val="multilevel"/>
    <w:tmpl w:val="4232D5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EE"/>
    <w:rsid w:val="005317EE"/>
    <w:rsid w:val="008F68C8"/>
    <w:rsid w:val="00CD3AC5"/>
    <w:rsid w:val="00DD5950"/>
    <w:rsid w:val="00E8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739A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7378" TargetMode="External"/><Relationship Id="rId13" Type="http://schemas.openxmlformats.org/officeDocument/2006/relationships/hyperlink" Target="https://login.consultant.ru/link/?req=doc&amp;base=LAW&amp;n=21220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386337&amp;dst=100299" TargetMode="External"/><Relationship Id="rId12" Type="http://schemas.openxmlformats.org/officeDocument/2006/relationships/hyperlink" Target="https://login.consultant.ru/link/?req=doc&amp;base=LAW&amp;n=135996&amp;dst=106849" TargetMode="External"/><Relationship Id="rId17" Type="http://schemas.openxmlformats.org/officeDocument/2006/relationships/hyperlink" Target="https://login.consultant.ru/link/?req=doc&amp;base=LAW&amp;n=212200&amp;dst=1044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12200&amp;dst=102826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62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12200&amp;dst=102792" TargetMode="External"/><Relationship Id="rId10" Type="http://schemas.openxmlformats.org/officeDocument/2006/relationships/hyperlink" Target="https://login.consultant.ru/link/?req=doc&amp;base=LAW&amp;n=135996&amp;dst=106214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35996&amp;dst=100010" TargetMode="External"/><Relationship Id="rId14" Type="http://schemas.openxmlformats.org/officeDocument/2006/relationships/hyperlink" Target="https://login.consultant.ru/link/?req=doc&amp;base=LAW&amp;n=212200&amp;dst=10278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3</cp:revision>
  <dcterms:created xsi:type="dcterms:W3CDTF">2025-04-01T08:25:00Z</dcterms:created>
  <dcterms:modified xsi:type="dcterms:W3CDTF">2025-04-15T11:27:00Z</dcterms:modified>
</cp:coreProperties>
</file>